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1843"/>
        <w:gridCol w:w="283"/>
        <w:gridCol w:w="1689"/>
        <w:gridCol w:w="1705"/>
        <w:gridCol w:w="1034"/>
        <w:gridCol w:w="1996"/>
        <w:gridCol w:w="912"/>
      </w:tblGrid>
      <w:tr w:rsidR="00F57023" w:rsidRPr="00F57023" w:rsidTr="00F57023">
        <w:trPr>
          <w:trHeight w:val="255"/>
        </w:trPr>
        <w:tc>
          <w:tcPr>
            <w:tcW w:w="1418"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Level</w:t>
            </w:r>
          </w:p>
        </w:tc>
        <w:tc>
          <w:tcPr>
            <w:tcW w:w="1843"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689"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Provinsi Riau</w:t>
            </w:r>
          </w:p>
        </w:tc>
        <w:tc>
          <w:tcPr>
            <w:tcW w:w="1705"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0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996"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912"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3261"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3394"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D. Kapasitas masyarakat Adat</w:t>
            </w:r>
          </w:p>
        </w:tc>
        <w:tc>
          <w:tcPr>
            <w:tcW w:w="10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996"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912"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1418"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689"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705"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996"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912"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3544" w:type="dxa"/>
            <w:gridSpan w:val="3"/>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Isu dalam PGA REDD+</w:t>
            </w:r>
          </w:p>
        </w:tc>
        <w:tc>
          <w:tcPr>
            <w:tcW w:w="6424" w:type="dxa"/>
            <w:gridSpan w:val="4"/>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  I. Perencanaan Kehutanan dan Tata Ruang </w:t>
            </w:r>
          </w:p>
        </w:tc>
        <w:tc>
          <w:tcPr>
            <w:tcW w:w="91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660"/>
        </w:trPr>
        <w:tc>
          <w:tcPr>
            <w:tcW w:w="1418"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843"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F57023" w:rsidRPr="00F57023" w:rsidTr="00F57023">
        <w:trPr>
          <w:trHeight w:val="255"/>
        </w:trPr>
        <w:tc>
          <w:tcPr>
            <w:tcW w:w="3261"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6424" w:type="dxa"/>
            <w:gridSpan w:val="4"/>
            <w:tcBorders>
              <w:top w:val="nil"/>
              <w:left w:val="nil"/>
              <w:bottom w:val="nil"/>
              <w:right w:val="nil"/>
            </w:tcBorders>
            <w:shd w:val="clear" w:color="auto" w:fill="auto"/>
            <w:noWrap/>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91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981"/>
        <w:gridCol w:w="1434"/>
        <w:gridCol w:w="1860"/>
        <w:gridCol w:w="1083"/>
        <w:gridCol w:w="1310"/>
        <w:gridCol w:w="1155"/>
        <w:gridCol w:w="1680"/>
        <w:gridCol w:w="1382"/>
      </w:tblGrid>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785"/>
        </w:trPr>
        <w:tc>
          <w:tcPr>
            <w:tcW w:w="981" w:type="dxa"/>
            <w:vMerge w:val="restart"/>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DIa1</w:t>
            </w:r>
          </w:p>
        </w:tc>
        <w:tc>
          <w:tcPr>
            <w:tcW w:w="1434" w:type="dxa"/>
            <w:vMerge w:val="restart"/>
            <w:tcBorders>
              <w:top w:val="nil"/>
              <w:left w:val="single" w:sz="4" w:space="0" w:color="auto"/>
              <w:bottom w:val="single" w:sz="4" w:space="0" w:color="000000"/>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NGO lingkungan diharapkan membantu dalam mengajukan konsep-konsep yang sifatnya lebih konkrit dan operasional. Menurut informan, NGO hingga saat ini belum dapat memberikan jalan keluar yang lebih operasional. </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02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000000" w:fill="F2DDDC"/>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PU</w:t>
            </w:r>
          </w:p>
        </w:tc>
        <w:tc>
          <w:tcPr>
            <w:tcW w:w="1310" w:type="dxa"/>
            <w:tcBorders>
              <w:top w:val="nil"/>
              <w:left w:val="nil"/>
              <w:bottom w:val="single" w:sz="4" w:space="0" w:color="auto"/>
              <w:right w:val="single" w:sz="4" w:space="0" w:color="auto"/>
            </w:tcBorders>
            <w:shd w:val="clear" w:color="000000" w:fill="F2DDDC"/>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55" w:type="dxa"/>
            <w:tcBorders>
              <w:top w:val="nil"/>
              <w:left w:val="nil"/>
              <w:bottom w:val="single" w:sz="4" w:space="0" w:color="auto"/>
              <w:right w:val="single" w:sz="4" w:space="0" w:color="auto"/>
            </w:tcBorders>
            <w:shd w:val="clear" w:color="000000" w:fill="F2DDDC"/>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000000" w:fill="F2DDDC"/>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204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sempat difotokopi secara lengkap oleh peneliti.</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memadai karena kekurangan aspek pengelolaan dokumentasi. Tapi AMAN dapat dikatakan memadai dalam kepemilikan data, walaupun masih perlu pembenahan. Ketua AMAN yaitu Efrianto, anggota AMAN H. Bustamir dan Jafri.</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102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Dokumen pendukung tidak sempat difotokopi secara </w:t>
            </w:r>
            <w:r w:rsidRPr="00F57023">
              <w:rPr>
                <w:rFonts w:ascii="Times New Roman" w:eastAsia="Times New Roman" w:hAnsi="Times New Roman" w:cs="Times New Roman"/>
                <w:color w:val="000000"/>
                <w:sz w:val="20"/>
                <w:szCs w:val="20"/>
                <w:lang w:eastAsia="id-ID"/>
              </w:rPr>
              <w:lastRenderedPageBreak/>
              <w:t>lengkap oleh peneliti.</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lastRenderedPageBreak/>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Kurang memadai karena data tidak terdokumentasi, seperti peta, tulisan, catatan </w:t>
            </w:r>
            <w:r w:rsidRPr="00F57023">
              <w:rPr>
                <w:rFonts w:ascii="Times New Roman" w:eastAsia="Times New Roman" w:hAnsi="Times New Roman" w:cs="Times New Roman"/>
                <w:color w:val="000000"/>
                <w:sz w:val="20"/>
                <w:szCs w:val="20"/>
                <w:lang w:eastAsia="id-ID"/>
              </w:rPr>
              <w:lastRenderedPageBreak/>
              <w:t>kegiatan dimiliki orang per orang</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lastRenderedPageBreak/>
              <w:t>2</w:t>
            </w:r>
          </w:p>
        </w:tc>
      </w:tr>
      <w:tr w:rsidR="00F57023" w:rsidRPr="00F57023" w:rsidTr="00F57023">
        <w:trPr>
          <w:trHeight w:val="51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Jurnalis</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Kurang memaham sedetail itu</w:t>
            </w:r>
          </w:p>
        </w:tc>
        <w:tc>
          <w:tcPr>
            <w:tcW w:w="1382" w:type="dxa"/>
            <w:tcBorders>
              <w:top w:val="nil"/>
              <w:left w:val="nil"/>
              <w:bottom w:val="single" w:sz="4" w:space="0" w:color="auto"/>
              <w:right w:val="single" w:sz="4" w:space="0" w:color="auto"/>
            </w:tcBorders>
            <w:shd w:val="clear" w:color="000000" w:fill="FFFF00"/>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1650"/>
        </w:trPr>
        <w:tc>
          <w:tcPr>
            <w:tcW w:w="981"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DIa2</w:t>
            </w:r>
          </w:p>
        </w:tc>
        <w:tc>
          <w:tcPr>
            <w:tcW w:w="1434" w:type="dxa"/>
            <w:vMerge w:val="restart"/>
            <w:tcBorders>
              <w:top w:val="nil"/>
              <w:left w:val="single" w:sz="4" w:space="0" w:color="auto"/>
              <w:bottom w:val="single" w:sz="4" w:space="0" w:color="000000"/>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Tidak mengetahui sedetail itu, karena masyarakat adat biasanya mengadu ke DPRD atau dinas kehutanan di kabupaten setempat.</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102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000000" w:fill="F2DDDC"/>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PU</w:t>
            </w:r>
          </w:p>
        </w:tc>
        <w:tc>
          <w:tcPr>
            <w:tcW w:w="1310" w:type="dxa"/>
            <w:tcBorders>
              <w:top w:val="nil"/>
              <w:left w:val="nil"/>
              <w:bottom w:val="single" w:sz="4" w:space="0" w:color="auto"/>
              <w:right w:val="single" w:sz="4" w:space="0" w:color="auto"/>
            </w:tcBorders>
            <w:shd w:val="clear" w:color="000000" w:fill="F2DDDC"/>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155" w:type="dxa"/>
            <w:tcBorders>
              <w:top w:val="nil"/>
              <w:left w:val="nil"/>
              <w:bottom w:val="single" w:sz="4" w:space="0" w:color="auto"/>
              <w:right w:val="single" w:sz="4" w:space="0" w:color="auto"/>
            </w:tcBorders>
            <w:shd w:val="clear" w:color="000000" w:fill="F2DDDC"/>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000000" w:fill="F2DDDC"/>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153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Masyarakat adat relatif jarang dilibatkan dalam pertemuan perencanaan di tingkat provinsi, keterlibatan di tingkat kabupaten. Tapi, biasanya kabupaten sebatas menampung pengaduan.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785"/>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Masyarakat adat pada umumnya mengadu terlebih dahulu kepada dinas kehutanan setempat. Pengaduan tersebut menurut dinas kehutanan akan disampaikan ke dinas kehutanan provinsi untuk dimasukkan dalam draft tata ruang.</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275"/>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Jurnalis</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Tidak tahu sampai sedetail itu, tapi yang biasanya terjadi masyarakat adat makin lama </w:t>
            </w:r>
            <w:r w:rsidRPr="00F57023">
              <w:rPr>
                <w:rFonts w:ascii="Times New Roman" w:eastAsia="Times New Roman" w:hAnsi="Times New Roman" w:cs="Times New Roman"/>
                <w:color w:val="000000"/>
                <w:sz w:val="20"/>
                <w:szCs w:val="20"/>
                <w:lang w:eastAsia="id-ID"/>
              </w:rPr>
              <w:lastRenderedPageBreak/>
              <w:t>makin terpinggirkan baik oleh kebijakan maupun pendatang yang merambah hutan.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lastRenderedPageBreak/>
              <w:t>2</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r>
      <w:tr w:rsidR="00F57023" w:rsidRPr="00F57023" w:rsidTr="00F57023">
        <w:trPr>
          <w:trHeight w:val="73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6610" w:type="dxa"/>
            <w:gridSpan w:val="5"/>
            <w:tcBorders>
              <w:top w:val="nil"/>
              <w:left w:val="nil"/>
              <w:bottom w:val="single" w:sz="4" w:space="0" w:color="auto"/>
              <w:right w:val="nil"/>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2295"/>
        </w:trPr>
        <w:tc>
          <w:tcPr>
            <w:tcW w:w="981" w:type="dxa"/>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DIb1</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Anda mengetahui perbedaan antara kawasan lindung dan kawasan budidaya?</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155"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Mengetahui jenis-jenis hutan, hutan konservasi adalah hutan yang dilindungi, dan hutan produksi inilah yang bermasalah karena luas hutan produksi dikuasai oleh pengusaha bemodal besar sehingga menghalangi masyarakat dan masyarakat adat untuk ikut memanfaatkan hutan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1530"/>
        </w:trPr>
        <w:tc>
          <w:tcPr>
            <w:tcW w:w="981" w:type="dxa"/>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DIb2</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Anda mengetahui mengenai status kawasannya dalam perenca-naan wilayah?</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155"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Status kawasan di Kampar tahu secara detail karena memliki peta TGHK/1986 untuk kawasan SM di Kabupaten Kampar. Namun RTRWP yang sekarang belum disahkan, perkembangan draftnya tidak tahu.  </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4</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r>
      <w:tr w:rsidR="00F57023" w:rsidRPr="00F57023" w:rsidTr="00F57023">
        <w:trPr>
          <w:trHeight w:val="630"/>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5228" w:type="dxa"/>
            <w:gridSpan w:val="4"/>
            <w:tcBorders>
              <w:top w:val="nil"/>
              <w:left w:val="nil"/>
              <w:bottom w:val="nil"/>
              <w:right w:val="nil"/>
            </w:tcBorders>
            <w:shd w:val="clear" w:color="auto" w:fill="auto"/>
            <w:noWrap/>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F57023">
              <w:rPr>
                <w:rFonts w:ascii="Times New Roman" w:eastAsia="Times New Roman" w:hAnsi="Times New Roman" w:cs="Times New Roman"/>
                <w:b/>
                <w:bCs/>
                <w:color w:val="000000"/>
                <w:sz w:val="20"/>
                <w:szCs w:val="20"/>
                <w:lang w:eastAsia="id-ID"/>
              </w:rPr>
              <w:br/>
            </w:r>
            <w:r w:rsidRPr="00F57023">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020"/>
        </w:trPr>
        <w:tc>
          <w:tcPr>
            <w:tcW w:w="981" w:type="dxa"/>
            <w:vMerge w:val="restart"/>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lastRenderedPageBreak/>
              <w:t>DIc1</w:t>
            </w:r>
          </w:p>
        </w:tc>
        <w:tc>
          <w:tcPr>
            <w:tcW w:w="1434" w:type="dxa"/>
            <w:vMerge w:val="restart"/>
            <w:tcBorders>
              <w:top w:val="nil"/>
              <w:left w:val="single" w:sz="4" w:space="0" w:color="auto"/>
              <w:bottom w:val="single" w:sz="4" w:space="0" w:color="000000"/>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Saat ini memilih wakil berdasarkan keahlian, karena perempuan agak sulit ditemui dalam LSM bidang kehutanan.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74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Hampir tidak ada wakil perempuan dalam masyarakat adat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765"/>
        </w:trPr>
        <w:tc>
          <w:tcPr>
            <w:tcW w:w="981" w:type="dxa"/>
            <w:vMerge w:val="restart"/>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DIc2</w:t>
            </w:r>
          </w:p>
        </w:tc>
        <w:tc>
          <w:tcPr>
            <w:tcW w:w="1434" w:type="dxa"/>
            <w:vMerge w:val="restart"/>
            <w:tcBorders>
              <w:top w:val="nil"/>
              <w:left w:val="single" w:sz="4" w:space="0" w:color="auto"/>
              <w:bottom w:val="single" w:sz="4" w:space="0" w:color="000000"/>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Mekanisme pemilihan wakil</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sempat ditelusuri lebih lanjut oleh peneliti</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memadai, karena pilihannya juga sangat terbatas</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02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Mekanisme berjalan musyawarah saja karena pilihannya sangat sedikit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2805"/>
        </w:trPr>
        <w:tc>
          <w:tcPr>
            <w:tcW w:w="981"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DIc3</w:t>
            </w:r>
          </w:p>
        </w:tc>
        <w:tc>
          <w:tcPr>
            <w:tcW w:w="1434" w:type="dxa"/>
            <w:vMerge w:val="restart"/>
            <w:tcBorders>
              <w:top w:val="nil"/>
              <w:left w:val="single" w:sz="4" w:space="0" w:color="auto"/>
              <w:bottom w:val="single" w:sz="4" w:space="0" w:color="000000"/>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Forum pemilihan wakil</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Forum disesuaikan karena jumlah personil yang terbatas, jadi dapat dilakukan secara fleksibel. Karena jumlahnya kecil, jadi tidak diperlukan forum yang formal. Biasanya dalam forum yang besar dibekali keterangan,. Tapi untuk di tingkat provinsi tidak terlalu diperlukan karena Kabag pun biasanya sudah mengenal aktivis yang biasanya menjadi mitra.</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99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Karena masing-masing tahu kapasitas jadi siapa yang dikirim lebih cepat ditentukan. </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r>
      <w:tr w:rsidR="00F57023" w:rsidRPr="00F57023" w:rsidTr="00F57023">
        <w:trPr>
          <w:trHeight w:val="690"/>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3548" w:type="dxa"/>
            <w:gridSpan w:val="3"/>
            <w:tcBorders>
              <w:top w:val="nil"/>
              <w:left w:val="nil"/>
              <w:bottom w:val="nil"/>
              <w:right w:val="nil"/>
            </w:tcBorders>
            <w:shd w:val="clear" w:color="auto" w:fill="auto"/>
            <w:noWrap/>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Pengurus/Anggota Masyarakat Adat/Lokal</w:t>
            </w:r>
            <w:r w:rsidRPr="00F57023">
              <w:rPr>
                <w:rFonts w:ascii="Times New Roman" w:eastAsia="Times New Roman" w:hAnsi="Times New Roman" w:cs="Times New Roman"/>
                <w:b/>
                <w:bCs/>
                <w:color w:val="000000"/>
                <w:sz w:val="20"/>
                <w:szCs w:val="20"/>
                <w:lang w:eastAsia="id-ID"/>
              </w:rPr>
              <w:br/>
            </w:r>
            <w:r w:rsidRPr="00F57023">
              <w:rPr>
                <w:rFonts w:ascii="Times New Roman" w:eastAsia="Times New Roman" w:hAnsi="Times New Roman" w:cs="Times New Roman"/>
                <w:b/>
                <w:bCs/>
                <w:color w:val="000000"/>
                <w:sz w:val="20"/>
                <w:szCs w:val="20"/>
                <w:lang w:eastAsia="id-ID"/>
              </w:rPr>
              <w:lastRenderedPageBreak/>
              <w:br/>
            </w:r>
          </w:p>
        </w:tc>
        <w:tc>
          <w:tcPr>
            <w:tcW w:w="168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lastRenderedPageBreak/>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02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DId1</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Prosedur penyampaian hasil atau proses partisipasi</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Peneliti tidak memiliki cukup waktu untuk mempelajari dan memfotokopi dokumen pendukung</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Mekanisme pelaporan belum selalu mengatur proses prosedur pastisipasi</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020"/>
        </w:trPr>
        <w:tc>
          <w:tcPr>
            <w:tcW w:w="981" w:type="dxa"/>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DId2</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(Standarisasi) Isi laporan hasil atau proses partisipasi</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Peneliti tidak memiliki cukup waktu untuk mempelajari dan memfotokopi dokumen pendukung</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Laporan belum memiliki standar isi atau proses partisipasi.</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02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DId3</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Forum penyampaian hasil atau proses partisipasi</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Peneliti tidak memiliki cukup waktu untuk mempelajari dan memfotokopi dokumen pendukung</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terlalu mendetail.</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02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DId4</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Penetapan peserta forum penyampaian hasil atau proses partisipasi</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Peneliti tidak memiliki cukup waktu untuk mempelajari dan memfotokopi dokumen pendukung</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terlalu mendetail.</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02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DId5</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Mekanisme penyampaian masukan dari peserta forum</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Peneliti tidak memiliki cukup waktu untuk mempelajari dan memfotokopi dokumen pendukung</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terlalu mendetail.</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4275" w:type="dxa"/>
            <w:gridSpan w:val="3"/>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Isu dalam PGA REDD+</w:t>
            </w:r>
          </w:p>
        </w:tc>
        <w:tc>
          <w:tcPr>
            <w:tcW w:w="5228" w:type="dxa"/>
            <w:gridSpan w:val="4"/>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76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5228" w:type="dxa"/>
            <w:gridSpan w:val="4"/>
            <w:tcBorders>
              <w:top w:val="nil"/>
              <w:left w:val="nil"/>
              <w:bottom w:val="nil"/>
              <w:right w:val="nil"/>
            </w:tcBorders>
            <w:shd w:val="clear" w:color="auto" w:fill="auto"/>
            <w:noWrap/>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255"/>
        </w:trPr>
        <w:tc>
          <w:tcPr>
            <w:tcW w:w="981" w:type="dxa"/>
            <w:vMerge w:val="restart"/>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sz w:val="20"/>
                <w:szCs w:val="20"/>
                <w:lang w:eastAsia="id-ID"/>
              </w:rPr>
            </w:pPr>
            <w:r w:rsidRPr="00F57023">
              <w:rPr>
                <w:rFonts w:ascii="Times New Roman" w:eastAsia="Times New Roman" w:hAnsi="Times New Roman" w:cs="Times New Roman"/>
                <w:sz w:val="20"/>
                <w:szCs w:val="20"/>
                <w:lang w:eastAsia="id-ID"/>
              </w:rPr>
              <w:lastRenderedPageBreak/>
              <w:t>DIIa1</w:t>
            </w:r>
          </w:p>
        </w:tc>
        <w:tc>
          <w:tcPr>
            <w:tcW w:w="1434"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sz w:val="20"/>
                <w:szCs w:val="20"/>
                <w:lang w:eastAsia="id-ID"/>
              </w:rPr>
            </w:pPr>
            <w:r w:rsidRPr="00F57023">
              <w:rPr>
                <w:rFonts w:ascii="Times New Roman" w:eastAsia="Times New Roman" w:hAnsi="Times New Roman" w:cs="Times New Roman"/>
                <w:sz w:val="20"/>
                <w:szCs w:val="20"/>
                <w:lang w:eastAsia="id-ID"/>
              </w:rPr>
              <w:t> </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155"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51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LSM</w:t>
            </w:r>
          </w:p>
        </w:tc>
        <w:tc>
          <w:tcPr>
            <w:tcW w:w="1310"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155"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memadai, masih sangat sedikit.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275"/>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155" w:type="dxa"/>
            <w:tcBorders>
              <w:top w:val="nil"/>
              <w:left w:val="nil"/>
              <w:bottom w:val="single" w:sz="4" w:space="0" w:color="auto"/>
              <w:right w:val="single" w:sz="4" w:space="0" w:color="auto"/>
            </w:tcBorders>
            <w:shd w:val="clear" w:color="000000" w:fill="000000"/>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memadai karena kebijakan mulai dari tingkat pusat memarjinalkan masyarakat adat, sehingga sulit untuk meregenerasi pengurus.</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630"/>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6610" w:type="dxa"/>
            <w:gridSpan w:val="5"/>
            <w:tcBorders>
              <w:top w:val="nil"/>
              <w:left w:val="nil"/>
              <w:bottom w:val="single" w:sz="4" w:space="0" w:color="auto"/>
              <w:right w:val="nil"/>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Pelaksanaan aturan</w:t>
            </w: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78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DIIb1</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Segala sesuatu yang berkaitan dengan indikator hampir sulit ditemukan dokumen tertulis</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Sangat tidak memadai, hutan adat relatif tidak akui. Tiap-tiap pemuka adat tidak memiliki peta wilayah adat, jadi selama ini baru klaim. Belum ada pengakuan secara legal formal. Pdahal pengakuan tersebut sangat penting.</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76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DIIb2</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Aturan Tertulis/Tidak Tertulis</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Aturan dalam bentuk tertulis atau tidak tertulis?</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indikator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Tidak tertulis</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535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lastRenderedPageBreak/>
              <w:t>DIIb3</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indikator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Hukum adat tidak selalu tertulis, tapi masyarakat tidak melanggar aturan. Justru hukum tertulis pemerintah yang banyak dilanggar dan merusak hutan. Masyarakat adat menyelaraskan hidupnya dengan hutan dan alam sekitar. Bahkan margasatwa seperti gajah dan harimau bagi masyarakat adat dipanggil "Datuk" sebagai bentuk penghormatan dan hutan tempat mereka tinggal tidak diganggu. namun sekarang banyak terjadi pembantaian satwa yang dilindungi. Padahal terdapat larangan pemerintah yang terutulis disertai sanksi yang berat bagi pelanggar. Tapi dengan adanya peraturan tersebut masyarakat tidak mematuhi dan justru banyak terjadi pelanggaran.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4</w:t>
            </w:r>
          </w:p>
        </w:tc>
      </w:tr>
      <w:tr w:rsidR="00F57023" w:rsidRPr="00F57023" w:rsidTr="00F57023">
        <w:trPr>
          <w:trHeight w:val="204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DIIb4</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Bentuk sanksi terhadap pelanggaran aturan</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indikator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Persoalannya banyak hutan adat yang berada di wilayah hutan konservasi. Hutan konservasi pun dirambah dengan alat berat. Jika sudah demikian, siapa yang dapat memberi sanksi? Perambah hutan dengan alat berat pasti pemilik modal kuat.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4275" w:type="dxa"/>
            <w:gridSpan w:val="3"/>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Isu dalam PGA REDD+</w:t>
            </w:r>
          </w:p>
        </w:tc>
        <w:tc>
          <w:tcPr>
            <w:tcW w:w="5228" w:type="dxa"/>
            <w:gridSpan w:val="4"/>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 a. Mekanisme pemilihan perwakilan masyarakat adat/lokal pada </w:t>
            </w:r>
            <w:r w:rsidRPr="00F57023">
              <w:rPr>
                <w:rFonts w:ascii="Times New Roman" w:eastAsia="Times New Roman" w:hAnsi="Times New Roman" w:cs="Times New Roman"/>
                <w:b/>
                <w:bCs/>
                <w:color w:val="000000"/>
                <w:sz w:val="20"/>
                <w:szCs w:val="20"/>
                <w:lang w:eastAsia="id-ID"/>
              </w:rPr>
              <w:lastRenderedPageBreak/>
              <w:t xml:space="preserve">lembaga multi stakeholder </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lastRenderedPageBreak/>
              <w:t>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3548" w:type="dxa"/>
            <w:gridSpan w:val="3"/>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Anggota/Pengurus-isu keterwakilan perempuan</w:t>
            </w:r>
          </w:p>
        </w:tc>
        <w:tc>
          <w:tcPr>
            <w:tcW w:w="168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53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DIIIa1</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Pertimbangan yang digunakan memilih wakil (keahlian, keterwakilan gender)</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Pertimbangan karena ketokohan dan derajat dalam adat.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76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DIIIa2</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Mekanisme pemilihan wakil</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mekanisme pemilihan wakil pada lembaga multi stakeholder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Secara adat ada mekanisme pemilihan, biasanya yang termasuk cerdik pandai merekalah yang dipilih.</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76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DIIIa3</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Forum pemilihan wakil</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forum pemilihan wakil dalam lembaga multi stakeholder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membicarakan sampai sejauh itu</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4275" w:type="dxa"/>
            <w:gridSpan w:val="3"/>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Isu dalam PGA REDD+</w:t>
            </w:r>
          </w:p>
        </w:tc>
        <w:tc>
          <w:tcPr>
            <w:tcW w:w="5228" w:type="dxa"/>
            <w:gridSpan w:val="4"/>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37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5228" w:type="dxa"/>
            <w:gridSpan w:val="4"/>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27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DIVa1</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ketentuan tentang hutan adat, baru klaim oleh masyarakat adat</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memadai, selama hutan adat belum dapat diketahui bagaimana kegunaan dan manfaatnya bagi masyarakat.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4275" w:type="dxa"/>
            <w:gridSpan w:val="3"/>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Isu dalam PGA REDD+</w:t>
            </w:r>
          </w:p>
        </w:tc>
        <w:tc>
          <w:tcPr>
            <w:tcW w:w="5228" w:type="dxa"/>
            <w:gridSpan w:val="4"/>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67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2393"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 Organisasi Masyarakat  Adat/Lokal  </w:t>
            </w:r>
          </w:p>
        </w:tc>
        <w:tc>
          <w:tcPr>
            <w:tcW w:w="1155"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68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78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lastRenderedPageBreak/>
              <w:t>DVa1</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Jumlah pengaduan</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memadai, baru AMAN saja yang melakukan karena ada akses berupa program.</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178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DVa2</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Pengaduan selama ini hanya sebatas ditampung oleh pemerintah. Jika terjadi konflik baru biasanya pemerintah ke tempat terjadi konflik.</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27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DVa3</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SOP monitoring</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Cukup simple untuk mengadu ke LSM daripada mengadu ke pemerintah. Tapi LSM nya juga yang kredibel.</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153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DVa4</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Staf yang khusus ditugaskan melakukan pengawasan</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staf yang khusus ditugaskan melakukan pengawasan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Tidak tahu, selama ini mengadu kepada pihak yang kebetulan dikenal dalam pemerintah. Tapi kepada LSM mengadu ke pengurus dan relawan. Mekanisme LSM lebih sesuai untuk masyarakat.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690"/>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3548" w:type="dxa"/>
            <w:gridSpan w:val="3"/>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Organisasi Masyarakat  Adat/Lokal  (Pelaksanaan Aturan)</w:t>
            </w:r>
          </w:p>
        </w:tc>
        <w:tc>
          <w:tcPr>
            <w:tcW w:w="168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76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DVb1</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Aturan Tertulis/Tidak Tertulis</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pengakuan terhadap hutan adat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127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lastRenderedPageBreak/>
              <w:t>DVb2</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Meskipun tidak mengenal aturan tertulis, masyarakat adat mengenal dan mematuhi tabu berkaitan dengan hutan, hal itu mencegah perusakan hutan.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357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DVb3</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Bentuk sanksi terhadap pelanggaran aturan</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Sanksi pengucilan menjadi hukuman yang paling menyakitkan. Tidak diundang ke acara atau perayaan sudah menjadi tindakan yang sangat menakutkan bagi masyarakat adat. Hutan dipelihara karena memberi kehdupan, yang mengambil manfaat lebih dari kebutuhan dikatakan "tak tahu adat". Tapi entah generasi sekarang apakah masih mengikuti aturan tradisi, saat ini pemanfaatan hutan bukan untuk memenuhi kebutuhan hidup, tapi lebih didorong oleh keserakahan. </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255"/>
        </w:trPr>
        <w:tc>
          <w:tcPr>
            <w:tcW w:w="4275" w:type="dxa"/>
            <w:gridSpan w:val="3"/>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Isu dalam PGA REDD+</w:t>
            </w:r>
          </w:p>
        </w:tc>
        <w:tc>
          <w:tcPr>
            <w:tcW w:w="5228" w:type="dxa"/>
            <w:gridSpan w:val="4"/>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61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6610" w:type="dxa"/>
            <w:gridSpan w:val="5"/>
            <w:tcBorders>
              <w:top w:val="nil"/>
              <w:left w:val="nil"/>
              <w:bottom w:val="single" w:sz="4" w:space="0" w:color="auto"/>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500"/>
        </w:trPr>
        <w:tc>
          <w:tcPr>
            <w:tcW w:w="981"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DVIa1</w:t>
            </w:r>
          </w:p>
        </w:tc>
        <w:tc>
          <w:tcPr>
            <w:tcW w:w="1434"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Kehadiran</w:t>
            </w:r>
          </w:p>
        </w:tc>
        <w:tc>
          <w:tcPr>
            <w:tcW w:w="1860" w:type="dxa"/>
            <w:vMerge w:val="restart"/>
            <w:tcBorders>
              <w:top w:val="nil"/>
              <w:left w:val="single" w:sz="4" w:space="0" w:color="auto"/>
              <w:bottom w:val="single" w:sz="4" w:space="0" w:color="000000"/>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Belum banyak kegiatan karena belum ada biaya oprasional, untuk mengundang dibutuhkan transportasi. Unsur masyarakat diwakilii oleh NGO. </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1500"/>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kegiatan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765"/>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kegiatan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1500"/>
        </w:trPr>
        <w:tc>
          <w:tcPr>
            <w:tcW w:w="981"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DVIa2</w:t>
            </w:r>
          </w:p>
        </w:tc>
        <w:tc>
          <w:tcPr>
            <w:tcW w:w="1434"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Bentuk peran</w:t>
            </w:r>
          </w:p>
        </w:tc>
        <w:tc>
          <w:tcPr>
            <w:tcW w:w="1860" w:type="dxa"/>
            <w:vMerge w:val="restart"/>
            <w:tcBorders>
              <w:top w:val="nil"/>
              <w:left w:val="single" w:sz="4" w:space="0" w:color="auto"/>
              <w:bottom w:val="single" w:sz="4" w:space="0" w:color="000000"/>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peran apa-apa karena kegiatan belum dimulai, baru sebatas diskusi. Karena belum ada biaya untuk Satgas REDD+, jadi belum ada kegiatan yang berarti.</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1500"/>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kegiatan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765"/>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kegiatan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1020"/>
        </w:trPr>
        <w:tc>
          <w:tcPr>
            <w:tcW w:w="981"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DVIa3</w:t>
            </w:r>
          </w:p>
        </w:tc>
        <w:tc>
          <w:tcPr>
            <w:tcW w:w="1434"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Besaran pengaruh</w:t>
            </w:r>
          </w:p>
        </w:tc>
        <w:tc>
          <w:tcPr>
            <w:tcW w:w="1860" w:type="dxa"/>
            <w:vMerge w:val="restart"/>
            <w:tcBorders>
              <w:top w:val="nil"/>
              <w:left w:val="single" w:sz="4" w:space="0" w:color="auto"/>
              <w:bottom w:val="single" w:sz="4" w:space="0" w:color="000000"/>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Kehutanan</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Belum dapat dilihat pengaruhnya, karena baru berupa diskusi. </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1020"/>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kegiatan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1065"/>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ada kegiatan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64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F57023" w:rsidRPr="00F57023" w:rsidTr="00F57023">
        <w:trPr>
          <w:trHeight w:val="360"/>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6610" w:type="dxa"/>
            <w:gridSpan w:val="5"/>
            <w:tcBorders>
              <w:top w:val="nil"/>
              <w:left w:val="nil"/>
              <w:bottom w:val="single" w:sz="4" w:space="0" w:color="auto"/>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Organisasi Masyarakat Adat/Lokal (Pengurus)</w:t>
            </w: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530"/>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DVIb1</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F57023">
              <w:rPr>
                <w:rFonts w:ascii="Times New Roman" w:eastAsia="Times New Roman" w:hAnsi="Times New Roman" w:cs="Times New Roman"/>
                <w:i/>
                <w:iCs/>
                <w:color w:val="000000"/>
                <w:sz w:val="20"/>
                <w:szCs w:val="20"/>
                <w:lang w:eastAsia="id-ID"/>
              </w:rPr>
              <w:t>project development design</w:t>
            </w:r>
            <w:r w:rsidRPr="00F57023">
              <w:rPr>
                <w:rFonts w:ascii="Times New Roman" w:eastAsia="Times New Roman" w:hAnsi="Times New Roman" w:cs="Times New Roman"/>
                <w:color w:val="000000"/>
                <w:sz w:val="20"/>
                <w:szCs w:val="20"/>
                <w:lang w:eastAsia="id-ID"/>
              </w:rPr>
              <w:t xml:space="preserve"> REDD+ sudah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diketahui karena konsep REDD+ belum jelas kegiatannya. Dalam persepsi kami hutan tidak dapat dimanfaatkan oleh masyarakat.</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127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DVIb2</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Sertifikat/Bukti Keikutsertaan pelatihan project development design (PDD)</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F57023">
              <w:rPr>
                <w:rFonts w:ascii="Times New Roman" w:eastAsia="Times New Roman" w:hAnsi="Times New Roman" w:cs="Times New Roman"/>
                <w:i/>
                <w:iCs/>
                <w:color w:val="000000"/>
                <w:sz w:val="20"/>
                <w:szCs w:val="20"/>
                <w:lang w:eastAsia="id-ID"/>
              </w:rPr>
              <w:t xml:space="preserve">project development design </w:t>
            </w:r>
            <w:r w:rsidRPr="00F57023">
              <w:rPr>
                <w:rFonts w:ascii="Times New Roman" w:eastAsia="Times New Roman" w:hAnsi="Times New Roman" w:cs="Times New Roman"/>
                <w:color w:val="000000"/>
                <w:sz w:val="20"/>
                <w:szCs w:val="20"/>
                <w:lang w:eastAsia="id-ID"/>
              </w:rPr>
              <w:t>(PDD)?</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mengetahui, tapi Ketua AMAN relatif banyak mengikuti pelatihan di Jakarta.</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1275"/>
        </w:trPr>
        <w:tc>
          <w:tcPr>
            <w:tcW w:w="981" w:type="dxa"/>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DVIb3</w:t>
            </w:r>
          </w:p>
        </w:tc>
        <w:tc>
          <w:tcPr>
            <w:tcW w:w="1434"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Pengalaman kerja dalam penyusunan PDD REDD+ </w:t>
            </w:r>
          </w:p>
        </w:tc>
        <w:tc>
          <w:tcPr>
            <w:tcW w:w="186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tahu karena konsep konkrit REDD+ belum jelas, dan bahkan bagi informan skenario REDD+ hanya menguntungkan pihak swasta, bukan masyarakat adat atau lokal.</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2</w:t>
            </w:r>
          </w:p>
        </w:tc>
      </w:tr>
      <w:tr w:rsidR="00F57023" w:rsidRPr="00F57023" w:rsidTr="00F57023">
        <w:trPr>
          <w:trHeight w:val="255"/>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86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310"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155" w:type="dxa"/>
            <w:tcBorders>
              <w:top w:val="nil"/>
              <w:left w:val="nil"/>
              <w:bottom w:val="nil"/>
              <w:right w:val="nil"/>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c>
          <w:tcPr>
            <w:tcW w:w="1680" w:type="dxa"/>
            <w:tcBorders>
              <w:top w:val="nil"/>
              <w:left w:val="nil"/>
              <w:bottom w:val="nil"/>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p>
        </w:tc>
      </w:tr>
      <w:tr w:rsidR="00F57023" w:rsidRPr="00F57023" w:rsidTr="00F57023">
        <w:trPr>
          <w:trHeight w:val="630"/>
        </w:trPr>
        <w:tc>
          <w:tcPr>
            <w:tcW w:w="981"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Indikator</w:t>
            </w:r>
          </w:p>
        </w:tc>
        <w:tc>
          <w:tcPr>
            <w:tcW w:w="1434"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6610" w:type="dxa"/>
            <w:gridSpan w:val="5"/>
            <w:tcBorders>
              <w:top w:val="nil"/>
              <w:left w:val="nil"/>
              <w:bottom w:val="nil"/>
              <w:right w:val="nil"/>
            </w:tcBorders>
            <w:shd w:val="clear" w:color="auto" w:fill="auto"/>
            <w:hideMark/>
          </w:tcPr>
          <w:p w:rsidR="00F57023" w:rsidRPr="00F57023" w:rsidRDefault="00F57023" w:rsidP="00F57023">
            <w:pPr>
              <w:spacing w:after="24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F57023" w:rsidRPr="00F57023" w:rsidTr="00F57023">
        <w:trPr>
          <w:trHeight w:val="255"/>
        </w:trPr>
        <w:tc>
          <w:tcPr>
            <w:tcW w:w="2415" w:type="dxa"/>
            <w:gridSpan w:val="2"/>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Wawancara - Sumber informasi</w:t>
            </w:r>
          </w:p>
        </w:tc>
        <w:tc>
          <w:tcPr>
            <w:tcW w:w="1860" w:type="dxa"/>
            <w:tcBorders>
              <w:top w:val="nil"/>
              <w:left w:val="nil"/>
              <w:bottom w:val="nil"/>
              <w:right w:val="nil"/>
            </w:tcBorders>
            <w:shd w:val="clear" w:color="auto" w:fill="auto"/>
            <w:noWrap/>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p>
        </w:tc>
        <w:tc>
          <w:tcPr>
            <w:tcW w:w="6610" w:type="dxa"/>
            <w:gridSpan w:val="5"/>
            <w:tcBorders>
              <w:top w:val="nil"/>
              <w:left w:val="nil"/>
              <w:bottom w:val="single" w:sz="4" w:space="0" w:color="auto"/>
              <w:right w:val="nil"/>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 Organisasi Masyarakat Adat/Lokal, Satgas REDD+</w:t>
            </w:r>
          </w:p>
        </w:tc>
      </w:tr>
      <w:tr w:rsidR="00F57023" w:rsidRPr="00F57023" w:rsidTr="00F57023">
        <w:trPr>
          <w:trHeight w:val="510"/>
        </w:trPr>
        <w:tc>
          <w:tcPr>
            <w:tcW w:w="981" w:type="dxa"/>
            <w:tcBorders>
              <w:top w:val="single" w:sz="4" w:space="0" w:color="auto"/>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Kode</w:t>
            </w:r>
          </w:p>
        </w:tc>
        <w:tc>
          <w:tcPr>
            <w:tcW w:w="1434"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Panduan Analisis Dokumen</w:t>
            </w:r>
          </w:p>
        </w:tc>
        <w:tc>
          <w:tcPr>
            <w:tcW w:w="1860" w:type="dxa"/>
            <w:tcBorders>
              <w:top w:val="single" w:sz="4" w:space="0" w:color="auto"/>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Pertanyaan Wawancara</w:t>
            </w: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Sumber Data</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Dokumen</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Dokumen</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b/>
                <w:bCs/>
                <w:color w:val="000000"/>
                <w:sz w:val="20"/>
                <w:szCs w:val="20"/>
                <w:lang w:eastAsia="id-ID"/>
              </w:rPr>
            </w:pPr>
            <w:r w:rsidRPr="00F57023">
              <w:rPr>
                <w:rFonts w:ascii="Times New Roman" w:eastAsia="Times New Roman" w:hAnsi="Times New Roman" w:cs="Times New Roman"/>
                <w:b/>
                <w:bCs/>
                <w:color w:val="000000"/>
                <w:sz w:val="20"/>
                <w:szCs w:val="20"/>
                <w:lang w:eastAsia="id-ID"/>
              </w:rPr>
              <w:t>Kategori Data Wawancara</w:t>
            </w:r>
          </w:p>
        </w:tc>
      </w:tr>
      <w:tr w:rsidR="00F57023" w:rsidRPr="00F57023" w:rsidTr="00F57023">
        <w:trPr>
          <w:trHeight w:val="1800"/>
        </w:trPr>
        <w:tc>
          <w:tcPr>
            <w:tcW w:w="981" w:type="dxa"/>
            <w:vMerge w:val="restart"/>
            <w:tcBorders>
              <w:top w:val="nil"/>
              <w:left w:val="single" w:sz="4" w:space="0" w:color="auto"/>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DVIc1</w:t>
            </w:r>
          </w:p>
        </w:tc>
        <w:tc>
          <w:tcPr>
            <w:tcW w:w="1434"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1020"/>
        </w:trPr>
        <w:tc>
          <w:tcPr>
            <w:tcW w:w="981"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pelatihan belum ditemukan</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AMAN Riau dibekali pemahaman oleh UNDP tentang FPIC. H. Bustamir mendapat pelatihan tentang FPIC.</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3</w:t>
            </w:r>
          </w:p>
        </w:tc>
      </w:tr>
      <w:tr w:rsidR="00F57023" w:rsidRPr="00F57023" w:rsidTr="00F57023">
        <w:trPr>
          <w:trHeight w:val="600"/>
        </w:trPr>
        <w:tc>
          <w:tcPr>
            <w:tcW w:w="981"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DVIc2</w:t>
            </w:r>
          </w:p>
        </w:tc>
        <w:tc>
          <w:tcPr>
            <w:tcW w:w="1434"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Prosedur Pemantauan</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Prosedur Pemantauan sudah memadai?</w:t>
            </w: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Belum dapat diketahui, belum ada pemetaan dan belum ada kegiatan</w:t>
            </w:r>
          </w:p>
        </w:tc>
        <w:tc>
          <w:tcPr>
            <w:tcW w:w="1382"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r>
      <w:tr w:rsidR="00F57023" w:rsidRPr="00F57023" w:rsidTr="00F57023">
        <w:trPr>
          <w:trHeight w:val="765"/>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600"/>
        </w:trPr>
        <w:tc>
          <w:tcPr>
            <w:tcW w:w="981"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DVIc3</w:t>
            </w:r>
          </w:p>
        </w:tc>
        <w:tc>
          <w:tcPr>
            <w:tcW w:w="1434"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xml:space="preserve">Kode etik </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Kode etik pemantauan sudah memadai?</w:t>
            </w: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765"/>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600"/>
        </w:trPr>
        <w:tc>
          <w:tcPr>
            <w:tcW w:w="981" w:type="dxa"/>
            <w:vMerge w:val="restart"/>
            <w:tcBorders>
              <w:top w:val="nil"/>
              <w:left w:val="single" w:sz="4" w:space="0" w:color="auto"/>
              <w:bottom w:val="single" w:sz="4" w:space="0" w:color="000000"/>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lastRenderedPageBreak/>
              <w:t>DVIc4</w:t>
            </w:r>
          </w:p>
        </w:tc>
        <w:tc>
          <w:tcPr>
            <w:tcW w:w="1434"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Mekanisme pemantauan</w:t>
            </w:r>
          </w:p>
        </w:tc>
        <w:tc>
          <w:tcPr>
            <w:tcW w:w="1860" w:type="dxa"/>
            <w:vMerge w:val="restart"/>
            <w:tcBorders>
              <w:top w:val="nil"/>
              <w:left w:val="single" w:sz="4" w:space="0" w:color="auto"/>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Apakah Mekanisme pemantauan sudah memadai?</w:t>
            </w:r>
          </w:p>
        </w:tc>
        <w:tc>
          <w:tcPr>
            <w:tcW w:w="1083"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Satgas REDD+</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r w:rsidR="00F57023" w:rsidRPr="00F57023" w:rsidTr="00F57023">
        <w:trPr>
          <w:trHeight w:val="765"/>
        </w:trPr>
        <w:tc>
          <w:tcPr>
            <w:tcW w:w="981" w:type="dxa"/>
            <w:vMerge/>
            <w:tcBorders>
              <w:top w:val="nil"/>
              <w:left w:val="single" w:sz="4" w:space="0" w:color="auto"/>
              <w:bottom w:val="single" w:sz="4" w:space="0" w:color="000000"/>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434"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860" w:type="dxa"/>
            <w:vMerge/>
            <w:tcBorders>
              <w:top w:val="nil"/>
              <w:left w:val="single" w:sz="4" w:space="0" w:color="auto"/>
              <w:bottom w:val="single" w:sz="4" w:space="0" w:color="auto"/>
              <w:right w:val="single" w:sz="4" w:space="0" w:color="auto"/>
            </w:tcBorders>
            <w:vAlign w:val="center"/>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p>
        </w:tc>
        <w:tc>
          <w:tcPr>
            <w:tcW w:w="1083"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Organisasi Masyarakat Adat Lokal</w:t>
            </w:r>
          </w:p>
        </w:tc>
        <w:tc>
          <w:tcPr>
            <w:tcW w:w="131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Dokumen pendukung tidak tersedia</w:t>
            </w:r>
          </w:p>
        </w:tc>
        <w:tc>
          <w:tcPr>
            <w:tcW w:w="1155" w:type="dxa"/>
            <w:tcBorders>
              <w:top w:val="nil"/>
              <w:left w:val="nil"/>
              <w:bottom w:val="single" w:sz="4" w:space="0" w:color="auto"/>
              <w:right w:val="single" w:sz="4" w:space="0" w:color="auto"/>
            </w:tcBorders>
            <w:shd w:val="clear" w:color="auto" w:fill="auto"/>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hideMark/>
          </w:tcPr>
          <w:p w:rsidR="00F57023" w:rsidRPr="00F57023" w:rsidRDefault="00F57023" w:rsidP="00F57023">
            <w:pPr>
              <w:spacing w:after="0" w:line="240" w:lineRule="auto"/>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F57023" w:rsidRPr="00F57023" w:rsidRDefault="00F57023" w:rsidP="00F57023">
            <w:pPr>
              <w:spacing w:after="0" w:line="240" w:lineRule="auto"/>
              <w:jc w:val="center"/>
              <w:rPr>
                <w:rFonts w:ascii="Times New Roman" w:eastAsia="Times New Roman" w:hAnsi="Times New Roman" w:cs="Times New Roman"/>
                <w:color w:val="000000"/>
                <w:sz w:val="20"/>
                <w:szCs w:val="20"/>
                <w:lang w:eastAsia="id-ID"/>
              </w:rPr>
            </w:pPr>
            <w:r w:rsidRPr="00F57023">
              <w:rPr>
                <w:rFonts w:ascii="Times New Roman" w:eastAsia="Times New Roman" w:hAnsi="Times New Roman" w:cs="Times New Roman"/>
                <w:color w:val="000000"/>
                <w:sz w:val="20"/>
                <w:szCs w:val="20"/>
                <w:lang w:eastAsia="id-ID"/>
              </w:rPr>
              <w:t> </w:t>
            </w:r>
          </w:p>
        </w:tc>
      </w:tr>
    </w:tbl>
    <w:p w:rsidR="00F57023" w:rsidRDefault="00F57023"/>
    <w:sectPr w:rsidR="00F57023"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A91768"/>
    <w:rsid w:val="0026067C"/>
    <w:rsid w:val="00265D91"/>
    <w:rsid w:val="004165D1"/>
    <w:rsid w:val="004570C7"/>
    <w:rsid w:val="005D2D3D"/>
    <w:rsid w:val="006E5970"/>
    <w:rsid w:val="007E5477"/>
    <w:rsid w:val="009F3E98"/>
    <w:rsid w:val="00A91768"/>
    <w:rsid w:val="00B44EB3"/>
    <w:rsid w:val="00BB5203"/>
    <w:rsid w:val="00D74DB4"/>
    <w:rsid w:val="00F57023"/>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50251321">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73955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3411</Words>
  <Characters>19447</Characters>
  <Application>Microsoft Office Word</Application>
  <DocSecurity>0</DocSecurity>
  <Lines>162</Lines>
  <Paragraphs>45</Paragraphs>
  <ScaleCrop>false</ScaleCrop>
  <Company/>
  <LinksUpToDate>false</LinksUpToDate>
  <CharactersWithSpaces>22813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2012-10-16T10:11:00Z</dcterms:modified>
</cp:coreProperties>
</file>